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F86" w:rsidRDefault="00831F86" w:rsidP="001E0812">
      <w:pPr>
        <w:spacing w:after="120"/>
        <w:rPr>
          <w:rFonts w:ascii="Times New Roman" w:hAnsi="Times New Roman"/>
          <w:sz w:val="22"/>
        </w:rPr>
      </w:pPr>
      <w:r w:rsidRPr="00831F86">
        <w:rPr>
          <w:rFonts w:ascii="Times New Roman" w:hAnsi="Times New Roman"/>
          <w:sz w:val="22"/>
        </w:rPr>
        <w:t>B.W. Carroll, “Is There a Gulf between Theory and Practice in Public Administration Journals? Can it be Overcome?” in D. Siegel and K. Rasmussen, eds</w:t>
      </w:r>
      <w:proofErr w:type="gramStart"/>
      <w:r w:rsidRPr="00831F86">
        <w:rPr>
          <w:rFonts w:ascii="Times New Roman" w:hAnsi="Times New Roman"/>
          <w:sz w:val="22"/>
        </w:rPr>
        <w:t>.,</w:t>
      </w:r>
      <w:proofErr w:type="gramEnd"/>
      <w:r w:rsidRPr="00831F86">
        <w:rPr>
          <w:rFonts w:ascii="Times New Roman" w:hAnsi="Times New Roman"/>
          <w:sz w:val="22"/>
        </w:rPr>
        <w:t xml:space="preserve"> </w:t>
      </w:r>
      <w:r w:rsidRPr="00831F86">
        <w:rPr>
          <w:rFonts w:ascii="Times New Roman" w:hAnsi="Times New Roman"/>
          <w:i/>
          <w:sz w:val="22"/>
        </w:rPr>
        <w:t xml:space="preserve">Professionalism and the Public Service: Essays in </w:t>
      </w:r>
      <w:proofErr w:type="spellStart"/>
      <w:r w:rsidRPr="00831F86">
        <w:rPr>
          <w:rFonts w:ascii="Times New Roman" w:hAnsi="Times New Roman"/>
          <w:i/>
          <w:sz w:val="22"/>
        </w:rPr>
        <w:t>Honour</w:t>
      </w:r>
      <w:proofErr w:type="spellEnd"/>
      <w:r w:rsidRPr="00831F86">
        <w:rPr>
          <w:rFonts w:ascii="Times New Roman" w:hAnsi="Times New Roman"/>
          <w:i/>
          <w:sz w:val="22"/>
        </w:rPr>
        <w:t xml:space="preserve"> of Kenneth </w:t>
      </w:r>
      <w:proofErr w:type="spellStart"/>
      <w:r w:rsidRPr="00831F86">
        <w:rPr>
          <w:rFonts w:ascii="Times New Roman" w:hAnsi="Times New Roman"/>
          <w:i/>
          <w:sz w:val="22"/>
        </w:rPr>
        <w:t>Kernaghan</w:t>
      </w:r>
      <w:proofErr w:type="spellEnd"/>
      <w:r w:rsidRPr="00831F86">
        <w:rPr>
          <w:rFonts w:ascii="Times New Roman" w:hAnsi="Times New Roman"/>
          <w:i/>
          <w:sz w:val="22"/>
        </w:rPr>
        <w:t xml:space="preserve"> </w:t>
      </w:r>
      <w:r w:rsidRPr="00831F86">
        <w:rPr>
          <w:rFonts w:ascii="Times New Roman" w:hAnsi="Times New Roman"/>
          <w:sz w:val="22"/>
        </w:rPr>
        <w:t>(Toronto UTP, 2008)</w:t>
      </w:r>
    </w:p>
    <w:p w:rsidR="00831F86" w:rsidRDefault="00831F86" w:rsidP="00831F86">
      <w:pPr>
        <w:spacing w:after="120"/>
        <w:ind w:left="284"/>
        <w:rPr>
          <w:rFonts w:ascii="Times New Roman" w:hAnsi="Times New Roman"/>
          <w:sz w:val="22"/>
        </w:rPr>
      </w:pPr>
    </w:p>
    <w:p w:rsidR="00831F86" w:rsidRDefault="00831F86" w:rsidP="001E0812">
      <w:pPr>
        <w:spacing w:after="120"/>
        <w:rPr>
          <w:rFonts w:ascii="Times New Roman" w:hAnsi="Times New Roman"/>
          <w:b/>
          <w:sz w:val="22"/>
        </w:rPr>
      </w:pPr>
      <w:r>
        <w:rPr>
          <w:rFonts w:ascii="Times New Roman" w:hAnsi="Times New Roman"/>
          <w:b/>
          <w:sz w:val="22"/>
        </w:rPr>
        <w:t>Overview:</w:t>
      </w:r>
    </w:p>
    <w:p w:rsidR="00831F86" w:rsidRDefault="00831F86" w:rsidP="00831F86">
      <w:pPr>
        <w:spacing w:after="120"/>
        <w:ind w:left="284"/>
        <w:rPr>
          <w:rFonts w:ascii="Times New Roman" w:hAnsi="Times New Roman"/>
          <w:sz w:val="22"/>
        </w:rPr>
      </w:pPr>
      <w:r>
        <w:rPr>
          <w:rFonts w:ascii="Times New Roman" w:hAnsi="Times New Roman"/>
          <w:sz w:val="22"/>
        </w:rPr>
        <w:t xml:space="preserve">Article addresses the role of academic journals, and their role in bridging the gap between theory and practice. Carroll argues that increasingly, articles are being written by PhDs for PhDs. The relationships between theory and practice is one of the major preoccupations of public administration – there are wonderful theories, </w:t>
      </w:r>
      <w:proofErr w:type="gramStart"/>
      <w:r>
        <w:rPr>
          <w:rFonts w:ascii="Times New Roman" w:hAnsi="Times New Roman"/>
          <w:sz w:val="22"/>
        </w:rPr>
        <w:t>its</w:t>
      </w:r>
      <w:proofErr w:type="gramEnd"/>
      <w:r>
        <w:rPr>
          <w:rFonts w:ascii="Times New Roman" w:hAnsi="Times New Roman"/>
          <w:sz w:val="22"/>
        </w:rPr>
        <w:t xml:space="preserve"> just that they do not work.</w:t>
      </w:r>
    </w:p>
    <w:p w:rsidR="00831F86" w:rsidRDefault="00831F86" w:rsidP="001E0812">
      <w:pPr>
        <w:spacing w:after="120"/>
        <w:rPr>
          <w:rFonts w:ascii="Times New Roman" w:hAnsi="Times New Roman"/>
          <w:b/>
          <w:sz w:val="22"/>
        </w:rPr>
      </w:pPr>
      <w:r>
        <w:rPr>
          <w:rFonts w:ascii="Times New Roman" w:hAnsi="Times New Roman"/>
          <w:b/>
          <w:sz w:val="22"/>
        </w:rPr>
        <w:t>Analysis:</w:t>
      </w:r>
    </w:p>
    <w:p w:rsidR="00831F86" w:rsidRPr="00831F86" w:rsidRDefault="00831F86" w:rsidP="00831F86">
      <w:pPr>
        <w:pStyle w:val="ListParagraph"/>
        <w:numPr>
          <w:ilvl w:val="0"/>
          <w:numId w:val="1"/>
        </w:numPr>
        <w:spacing w:after="120"/>
        <w:rPr>
          <w:rFonts w:ascii="Times New Roman" w:hAnsi="Times New Roman"/>
          <w:sz w:val="22"/>
        </w:rPr>
      </w:pPr>
      <w:r>
        <w:rPr>
          <w:rFonts w:ascii="Times New Roman" w:hAnsi="Times New Roman"/>
          <w:sz w:val="22"/>
        </w:rPr>
        <w:t>Less</w:t>
      </w:r>
      <w:r w:rsidRPr="00831F86">
        <w:rPr>
          <w:rFonts w:ascii="Times New Roman" w:hAnsi="Times New Roman"/>
          <w:sz w:val="22"/>
        </w:rPr>
        <w:t xml:space="preserve"> on who writes the articles, </w:t>
      </w:r>
      <w:r>
        <w:rPr>
          <w:rFonts w:ascii="Times New Roman" w:hAnsi="Times New Roman"/>
          <w:sz w:val="22"/>
        </w:rPr>
        <w:t>rather</w:t>
      </w:r>
      <w:r w:rsidRPr="00831F86">
        <w:rPr>
          <w:rFonts w:ascii="Times New Roman" w:hAnsi="Times New Roman"/>
          <w:sz w:val="22"/>
        </w:rPr>
        <w:t xml:space="preserve"> focuses on who reads them (or who should read them)</w:t>
      </w:r>
    </w:p>
    <w:p w:rsidR="00831F86" w:rsidRDefault="00831F86" w:rsidP="00831F86">
      <w:pPr>
        <w:pStyle w:val="ListParagraph"/>
        <w:numPr>
          <w:ilvl w:val="0"/>
          <w:numId w:val="1"/>
        </w:numPr>
        <w:spacing w:after="120"/>
        <w:rPr>
          <w:rFonts w:ascii="Times New Roman" w:hAnsi="Times New Roman"/>
          <w:sz w:val="22"/>
        </w:rPr>
      </w:pPr>
      <w:r>
        <w:rPr>
          <w:rFonts w:ascii="Times New Roman" w:hAnsi="Times New Roman"/>
          <w:sz w:val="22"/>
        </w:rPr>
        <w:t xml:space="preserve">Decreased readership could be a function of increased complexity of public administration, in conjunction with the increased pressure on academics to publish (and publish in high impact journals) - </w:t>
      </w:r>
      <w:r w:rsidRPr="00831F86">
        <w:rPr>
          <w:rFonts w:ascii="Times New Roman" w:hAnsi="Times New Roman"/>
          <w:sz w:val="22"/>
        </w:rPr>
        <w:t>“The degree of difficulty in understanding an article is</w:t>
      </w:r>
      <w:r>
        <w:rPr>
          <w:rFonts w:ascii="Times New Roman" w:hAnsi="Times New Roman"/>
          <w:sz w:val="22"/>
        </w:rPr>
        <w:t xml:space="preserve"> highly correlated with academic readers’ impressions of its profoundness and originality”</w:t>
      </w:r>
    </w:p>
    <w:p w:rsidR="00831F86" w:rsidRPr="00831F86" w:rsidRDefault="00831F86" w:rsidP="00831F86">
      <w:pPr>
        <w:pStyle w:val="ListParagraph"/>
        <w:numPr>
          <w:ilvl w:val="0"/>
          <w:numId w:val="1"/>
        </w:numPr>
        <w:spacing w:after="120"/>
        <w:rPr>
          <w:rFonts w:ascii="Times New Roman" w:hAnsi="Times New Roman"/>
          <w:sz w:val="22"/>
        </w:rPr>
      </w:pPr>
      <w:r>
        <w:rPr>
          <w:rFonts w:ascii="Times New Roman" w:hAnsi="Times New Roman"/>
          <w:sz w:val="22"/>
        </w:rPr>
        <w:t>How did we get here</w:t>
      </w:r>
      <w:r w:rsidRPr="00831F86">
        <w:rPr>
          <w:rFonts w:ascii="Times New Roman" w:hAnsi="Times New Roman"/>
          <w:sz w:val="22"/>
        </w:rPr>
        <w:t xml:space="preserve">? </w:t>
      </w:r>
      <w:r>
        <w:rPr>
          <w:rFonts w:ascii="Times New Roman" w:hAnsi="Times New Roman"/>
          <w:sz w:val="22"/>
        </w:rPr>
        <w:t>(Part 1)</w:t>
      </w:r>
    </w:p>
    <w:p w:rsidR="00831F86" w:rsidRPr="00831F86" w:rsidRDefault="00831F86" w:rsidP="00831F86">
      <w:pPr>
        <w:pStyle w:val="ListParagraph"/>
        <w:numPr>
          <w:ilvl w:val="1"/>
          <w:numId w:val="1"/>
        </w:numPr>
        <w:spacing w:after="120"/>
        <w:rPr>
          <w:rFonts w:ascii="Times New Roman" w:hAnsi="Times New Roman"/>
          <w:sz w:val="22"/>
        </w:rPr>
      </w:pPr>
      <w:r>
        <w:rPr>
          <w:rFonts w:ascii="Times New Roman" w:hAnsi="Times New Roman"/>
          <w:sz w:val="22"/>
        </w:rPr>
        <w:t>Disconnect occurs also at a practical level: academics strive to succeed in their careers, practitioners strive to solve practical problems – thus, the goals of the two groups have diverged</w:t>
      </w:r>
      <w:r w:rsidRPr="00831F86">
        <w:rPr>
          <w:rFonts w:ascii="Times New Roman" w:hAnsi="Times New Roman"/>
          <w:sz w:val="22"/>
        </w:rPr>
        <w:t xml:space="preserve"> </w:t>
      </w:r>
    </w:p>
    <w:p w:rsidR="00831F86" w:rsidRDefault="00831F86" w:rsidP="00831F86">
      <w:pPr>
        <w:pStyle w:val="ListParagraph"/>
        <w:numPr>
          <w:ilvl w:val="1"/>
          <w:numId w:val="1"/>
        </w:numPr>
        <w:spacing w:after="120"/>
        <w:rPr>
          <w:rFonts w:ascii="Times New Roman" w:hAnsi="Times New Roman"/>
          <w:sz w:val="22"/>
        </w:rPr>
      </w:pPr>
      <w:r>
        <w:rPr>
          <w:rFonts w:ascii="Times New Roman" w:hAnsi="Times New Roman"/>
          <w:sz w:val="22"/>
        </w:rPr>
        <w:t xml:space="preserve">No longer are both groups engaged in a debate over the normative </w:t>
      </w:r>
      <w:r>
        <w:rPr>
          <w:rFonts w:ascii="Times New Roman" w:hAnsi="Times New Roman"/>
          <w:i/>
          <w:sz w:val="22"/>
        </w:rPr>
        <w:t xml:space="preserve">and </w:t>
      </w:r>
      <w:r>
        <w:rPr>
          <w:rFonts w:ascii="Times New Roman" w:hAnsi="Times New Roman"/>
          <w:sz w:val="22"/>
        </w:rPr>
        <w:t>empirical aspects of public administration</w:t>
      </w:r>
    </w:p>
    <w:p w:rsidR="00831F86" w:rsidRDefault="00831F86" w:rsidP="00831F86">
      <w:pPr>
        <w:pStyle w:val="ListParagraph"/>
        <w:numPr>
          <w:ilvl w:val="0"/>
          <w:numId w:val="1"/>
        </w:numPr>
        <w:spacing w:after="120"/>
        <w:rPr>
          <w:rFonts w:ascii="Times New Roman" w:hAnsi="Times New Roman"/>
          <w:sz w:val="22"/>
        </w:rPr>
      </w:pPr>
      <w:r>
        <w:rPr>
          <w:rFonts w:ascii="Times New Roman" w:hAnsi="Times New Roman"/>
          <w:sz w:val="22"/>
        </w:rPr>
        <w:t>How did we get here? (Part 2)</w:t>
      </w:r>
    </w:p>
    <w:p w:rsidR="00255EB0" w:rsidRDefault="00255EB0" w:rsidP="00255EB0">
      <w:pPr>
        <w:pStyle w:val="ListParagraph"/>
        <w:numPr>
          <w:ilvl w:val="1"/>
          <w:numId w:val="1"/>
        </w:numPr>
        <w:spacing w:after="120"/>
        <w:rPr>
          <w:rFonts w:ascii="Times New Roman" w:hAnsi="Times New Roman"/>
          <w:sz w:val="22"/>
        </w:rPr>
      </w:pPr>
      <w:r>
        <w:rPr>
          <w:rFonts w:ascii="Times New Roman" w:hAnsi="Times New Roman"/>
          <w:sz w:val="22"/>
        </w:rPr>
        <w:t>What is often meant by theory in PA has little to do with the true meaning of theory – that is, it does not help us understand relationships in the world, presumably</w:t>
      </w:r>
      <w:r w:rsidRPr="00255EB0">
        <w:rPr>
          <w:rFonts w:ascii="Times New Roman" w:hAnsi="Times New Roman"/>
          <w:sz w:val="22"/>
        </w:rPr>
        <w:t xml:space="preserve"> in order to explain, predict or alter them</w:t>
      </w:r>
    </w:p>
    <w:p w:rsidR="00255EB0" w:rsidRDefault="00255EB0" w:rsidP="00255EB0">
      <w:pPr>
        <w:pStyle w:val="ListParagraph"/>
        <w:numPr>
          <w:ilvl w:val="1"/>
          <w:numId w:val="1"/>
        </w:numPr>
        <w:spacing w:after="120"/>
        <w:rPr>
          <w:rFonts w:ascii="Times New Roman" w:hAnsi="Times New Roman"/>
          <w:sz w:val="22"/>
        </w:rPr>
      </w:pPr>
      <w:r>
        <w:rPr>
          <w:rFonts w:ascii="Times New Roman" w:hAnsi="Times New Roman"/>
          <w:sz w:val="22"/>
        </w:rPr>
        <w:t>PA research is engaged in little theory testing</w:t>
      </w:r>
    </w:p>
    <w:p w:rsidR="00255EB0" w:rsidRDefault="00255EB0" w:rsidP="00255EB0">
      <w:pPr>
        <w:spacing w:after="120"/>
        <w:rPr>
          <w:rFonts w:ascii="Times New Roman" w:hAnsi="Times New Roman"/>
          <w:b/>
          <w:sz w:val="22"/>
        </w:rPr>
      </w:pPr>
      <w:r>
        <w:rPr>
          <w:rFonts w:ascii="Times New Roman" w:hAnsi="Times New Roman"/>
          <w:b/>
          <w:sz w:val="22"/>
        </w:rPr>
        <w:t xml:space="preserve">Some </w:t>
      </w:r>
      <w:r w:rsidR="001E0812">
        <w:rPr>
          <w:rFonts w:ascii="Times New Roman" w:hAnsi="Times New Roman"/>
          <w:b/>
          <w:sz w:val="22"/>
        </w:rPr>
        <w:t>observations</w:t>
      </w:r>
      <w:r>
        <w:rPr>
          <w:rFonts w:ascii="Times New Roman" w:hAnsi="Times New Roman"/>
          <w:b/>
          <w:sz w:val="22"/>
        </w:rPr>
        <w:t>:</w:t>
      </w:r>
    </w:p>
    <w:p w:rsidR="00255EB0" w:rsidRPr="00255EB0" w:rsidRDefault="00255EB0" w:rsidP="00255EB0">
      <w:pPr>
        <w:pStyle w:val="ListParagraph"/>
        <w:numPr>
          <w:ilvl w:val="0"/>
          <w:numId w:val="1"/>
        </w:numPr>
        <w:spacing w:after="120"/>
        <w:rPr>
          <w:rFonts w:ascii="Times New Roman" w:hAnsi="Times New Roman"/>
          <w:sz w:val="22"/>
        </w:rPr>
      </w:pPr>
      <w:r w:rsidRPr="00255EB0">
        <w:rPr>
          <w:rFonts w:ascii="Times New Roman" w:hAnsi="Times New Roman"/>
          <w:sz w:val="22"/>
        </w:rPr>
        <w:t>Efforts to get practitioners to work on scholarly articles are probably doomed – one noted “even clinicians, who see themselves as part of the profession operate at work as clinicians, basing their decisions and actions on their actual experience. They do not engage in evidence-based decision making; they do not need to read any research”</w:t>
      </w:r>
    </w:p>
    <w:p w:rsidR="00255EB0" w:rsidRDefault="00255EB0" w:rsidP="00255EB0">
      <w:pPr>
        <w:pStyle w:val="ListParagraph"/>
        <w:numPr>
          <w:ilvl w:val="1"/>
          <w:numId w:val="1"/>
        </w:numPr>
        <w:spacing w:after="120"/>
        <w:rPr>
          <w:rFonts w:ascii="Times New Roman" w:hAnsi="Times New Roman"/>
          <w:sz w:val="22"/>
        </w:rPr>
      </w:pPr>
      <w:r>
        <w:rPr>
          <w:rFonts w:ascii="Times New Roman" w:hAnsi="Times New Roman"/>
          <w:sz w:val="22"/>
        </w:rPr>
        <w:t>DISAGREE with this characterization</w:t>
      </w:r>
    </w:p>
    <w:p w:rsidR="001E0812" w:rsidRDefault="00255EB0" w:rsidP="00255EB0">
      <w:pPr>
        <w:pStyle w:val="ListParagraph"/>
        <w:numPr>
          <w:ilvl w:val="0"/>
          <w:numId w:val="1"/>
        </w:numPr>
        <w:spacing w:after="120"/>
        <w:rPr>
          <w:rFonts w:ascii="Times New Roman" w:hAnsi="Times New Roman"/>
          <w:sz w:val="22"/>
        </w:rPr>
      </w:pPr>
      <w:r>
        <w:rPr>
          <w:rFonts w:ascii="Times New Roman" w:hAnsi="Times New Roman"/>
          <w:sz w:val="22"/>
        </w:rPr>
        <w:t>Carol Weiss – “for most people, social science reports seem to have very little effect on policy makers in and of themselves… policy makers are busy people, and reading is low on their list of activities”</w:t>
      </w:r>
    </w:p>
    <w:p w:rsidR="001E0812" w:rsidRDefault="001E0812" w:rsidP="001E0812">
      <w:pPr>
        <w:spacing w:after="120"/>
        <w:rPr>
          <w:rFonts w:ascii="Times New Roman" w:hAnsi="Times New Roman"/>
          <w:b/>
          <w:sz w:val="22"/>
        </w:rPr>
      </w:pPr>
      <w:r>
        <w:rPr>
          <w:rFonts w:ascii="Times New Roman" w:hAnsi="Times New Roman"/>
          <w:b/>
          <w:sz w:val="22"/>
        </w:rPr>
        <w:t>Conclusions:</w:t>
      </w:r>
    </w:p>
    <w:p w:rsidR="001E0812" w:rsidRPr="001E0812" w:rsidRDefault="001E0812" w:rsidP="001E0812">
      <w:pPr>
        <w:pStyle w:val="ListParagraph"/>
        <w:numPr>
          <w:ilvl w:val="0"/>
          <w:numId w:val="1"/>
        </w:numPr>
        <w:spacing w:after="120"/>
        <w:rPr>
          <w:rFonts w:ascii="Times New Roman" w:hAnsi="Times New Roman"/>
          <w:sz w:val="22"/>
        </w:rPr>
      </w:pPr>
      <w:r>
        <w:rPr>
          <w:rFonts w:ascii="Times New Roman" w:hAnsi="Times New Roman"/>
          <w:sz w:val="22"/>
        </w:rPr>
        <w:t>B</w:t>
      </w:r>
      <w:r w:rsidRPr="001E0812">
        <w:rPr>
          <w:rFonts w:ascii="Times New Roman" w:hAnsi="Times New Roman"/>
          <w:sz w:val="22"/>
        </w:rPr>
        <w:t>laming the victim also not the answer – if academics are not producing and disseminating research that is read by, or of use to practitioners, then what are they doing?</w:t>
      </w:r>
    </w:p>
    <w:p w:rsidR="001E0812" w:rsidRDefault="001E0812" w:rsidP="001E0812">
      <w:pPr>
        <w:pStyle w:val="ListParagraph"/>
        <w:numPr>
          <w:ilvl w:val="0"/>
          <w:numId w:val="1"/>
        </w:numPr>
        <w:spacing w:after="120"/>
        <w:rPr>
          <w:rFonts w:ascii="Times New Roman" w:hAnsi="Times New Roman"/>
          <w:sz w:val="22"/>
        </w:rPr>
      </w:pPr>
      <w:r>
        <w:rPr>
          <w:rFonts w:ascii="Times New Roman" w:hAnsi="Times New Roman"/>
          <w:sz w:val="22"/>
        </w:rPr>
        <w:t xml:space="preserve">In the words of K. </w:t>
      </w:r>
      <w:proofErr w:type="spellStart"/>
      <w:r>
        <w:rPr>
          <w:rFonts w:ascii="Times New Roman" w:hAnsi="Times New Roman"/>
          <w:sz w:val="22"/>
        </w:rPr>
        <w:t>Kernaghan</w:t>
      </w:r>
      <w:proofErr w:type="spellEnd"/>
      <w:r>
        <w:rPr>
          <w:rFonts w:ascii="Times New Roman" w:hAnsi="Times New Roman"/>
          <w:sz w:val="22"/>
        </w:rPr>
        <w:t xml:space="preserve"> “if academics want their research and ideas to affect practice, they must write on matters of current or perennial concern to the profession. Moreover, they must use a vocabulary that is easily comprehensible and non-academic. The development of a common language of communication between the discipline and the profession is especially important for articulating shared values and assumptions”</w:t>
      </w:r>
    </w:p>
    <w:p w:rsidR="001E0812" w:rsidRDefault="001E0812" w:rsidP="001E0812">
      <w:pPr>
        <w:pStyle w:val="ListParagraph"/>
        <w:numPr>
          <w:ilvl w:val="0"/>
          <w:numId w:val="1"/>
        </w:numPr>
        <w:spacing w:after="120"/>
        <w:rPr>
          <w:rFonts w:ascii="Times New Roman" w:hAnsi="Times New Roman"/>
          <w:sz w:val="22"/>
        </w:rPr>
      </w:pPr>
      <w:r>
        <w:rPr>
          <w:rFonts w:ascii="Times New Roman" w:hAnsi="Times New Roman"/>
          <w:sz w:val="22"/>
        </w:rPr>
        <w:t xml:space="preserve">For understandable reasons, journals have migrated to the academic side so that there is little room for contribution by, or relevance to, practitioners. It is improbable that this trend will be reversed. </w:t>
      </w:r>
    </w:p>
    <w:p w:rsidR="00831F86" w:rsidRPr="001E0812" w:rsidRDefault="001E0812" w:rsidP="001E0812">
      <w:pPr>
        <w:pStyle w:val="ListParagraph"/>
        <w:numPr>
          <w:ilvl w:val="0"/>
          <w:numId w:val="1"/>
        </w:numPr>
        <w:spacing w:after="120"/>
        <w:rPr>
          <w:rFonts w:ascii="Times New Roman" w:hAnsi="Times New Roman"/>
          <w:sz w:val="22"/>
        </w:rPr>
      </w:pPr>
      <w:r>
        <w:rPr>
          <w:rFonts w:ascii="Times New Roman" w:hAnsi="Times New Roman"/>
          <w:sz w:val="22"/>
        </w:rPr>
        <w:t xml:space="preserve">Is there a gap between theory and practice? Yes, and it is widening. Can it be closed? Maybe </w:t>
      </w:r>
      <w:proofErr w:type="gramStart"/>
      <w:r>
        <w:rPr>
          <w:rFonts w:ascii="Times New Roman" w:hAnsi="Times New Roman"/>
          <w:sz w:val="22"/>
        </w:rPr>
        <w:t>-  if</w:t>
      </w:r>
      <w:proofErr w:type="gramEnd"/>
      <w:r>
        <w:rPr>
          <w:rFonts w:ascii="Times New Roman" w:hAnsi="Times New Roman"/>
          <w:sz w:val="22"/>
        </w:rPr>
        <w:t xml:space="preserve"> academic journals can meld theory and practice in an accessible way.</w:t>
      </w:r>
    </w:p>
    <w:sectPr w:rsidR="00831F86" w:rsidRPr="001E0812" w:rsidSect="00831F8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D3BCA"/>
    <w:multiLevelType w:val="hybridMultilevel"/>
    <w:tmpl w:val="B596AFDA"/>
    <w:lvl w:ilvl="0" w:tplc="E584BED6">
      <w:start w:val="2"/>
      <w:numFmt w:val="bullet"/>
      <w:lvlText w:val="-"/>
      <w:lvlJc w:val="left"/>
      <w:pPr>
        <w:ind w:left="644" w:hanging="360"/>
      </w:pPr>
      <w:rPr>
        <w:rFonts w:ascii="Times New Roman" w:eastAsiaTheme="minorHAnsi" w:hAnsi="Times New Roman" w:cstheme="minorBidi" w:hint="default"/>
      </w:rPr>
    </w:lvl>
    <w:lvl w:ilvl="1" w:tplc="04090003">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1F86"/>
    <w:rsid w:val="001E0812"/>
    <w:rsid w:val="00255EB0"/>
    <w:rsid w:val="00831F8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F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1F8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2012-04-23T14:24:00Z</dcterms:created>
  <dcterms:modified xsi:type="dcterms:W3CDTF">2012-04-23T15:02:00Z</dcterms:modified>
</cp:coreProperties>
</file>